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ПРАВИТЕЛЬСТВО САНКТ-ПЕТЕРБУРГА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КОМИТЕТ ЭКОНОМИЧЕСКОГО РАЗВИТИЯ, </w:t>
      </w:r>
      <w:proofErr w:type="gramStart"/>
      <w:r>
        <w:rPr>
          <w:rFonts w:ascii="Calibri" w:hAnsi="Calibri" w:cs="Calibri"/>
          <w:b/>
          <w:bCs/>
        </w:rPr>
        <w:t>ПРОМЫШЛЕННОЙ</w:t>
      </w:r>
      <w:proofErr w:type="gramEnd"/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ПОЛИТИКИ И ТОРГОВЛИ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РАСПОРЯЖЕНИЕ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18 марта 2011 г. N 258-р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МЕТОДИЧЕСКИХ РЕКОМЕНДАЦИЙ ПО ФОРМИРОВАНИЮ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ПРЕДЕЛЬНЫХ ЦЕН (ТАРИФОВ) НА ОПЛАТУ ГОСУДАРСТВЕННЫХ УСЛУГ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ФИЗИЧЕСКИМИ ИЛИ ЮРИДИЧЕСКИМИ ЛИЦАМИ В </w:t>
      </w:r>
      <w:proofErr w:type="gramStart"/>
      <w:r>
        <w:rPr>
          <w:rFonts w:ascii="Calibri" w:hAnsi="Calibri" w:cs="Calibri"/>
          <w:b/>
          <w:bCs/>
        </w:rPr>
        <w:t>СЛУЧАЕ</w:t>
      </w:r>
      <w:proofErr w:type="gramEnd"/>
      <w:r>
        <w:rPr>
          <w:rFonts w:ascii="Calibri" w:hAnsi="Calibri" w:cs="Calibri"/>
          <w:b/>
          <w:bCs/>
        </w:rPr>
        <w:t>,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ЕСЛИ ЗАКОНОДАТЕЛЬСТВОМ РОССИЙСКОЙ ФЕДЕРАЦИИ ПРЕДУСМОТРЕНО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ИХ ОКАЗАНИЕ НА ПЛАТНОЙ ОСНОВЕ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 ред. </w:t>
      </w:r>
      <w:hyperlink r:id="rId4" w:history="1">
        <w:r>
          <w:rPr>
            <w:rFonts w:ascii="Calibri" w:hAnsi="Calibri" w:cs="Calibri"/>
            <w:color w:val="0000FF"/>
          </w:rPr>
          <w:t>Распоряжения</w:t>
        </w:r>
      </w:hyperlink>
      <w:r>
        <w:rPr>
          <w:rFonts w:ascii="Calibri" w:hAnsi="Calibri" w:cs="Calibri"/>
        </w:rPr>
        <w:t xml:space="preserve"> Комитета по экономической политике</w:t>
      </w:r>
      <w:proofErr w:type="gramEnd"/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стратегическому планированию Санкт-Петербурга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14.10.2013 N 119-р)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proofErr w:type="gramStart"/>
      <w:r>
        <w:rPr>
          <w:rFonts w:ascii="Calibri" w:hAnsi="Calibri" w:cs="Calibri"/>
        </w:rPr>
        <w:t>соответствии</w:t>
      </w:r>
      <w:proofErr w:type="gramEnd"/>
      <w:r>
        <w:rPr>
          <w:rFonts w:ascii="Calibri" w:hAnsi="Calibri" w:cs="Calibri"/>
        </w:rPr>
        <w:t xml:space="preserve"> с </w:t>
      </w:r>
      <w:hyperlink r:id="rId5" w:history="1">
        <w:r>
          <w:rPr>
            <w:rFonts w:ascii="Calibri" w:hAnsi="Calibri" w:cs="Calibri"/>
            <w:color w:val="0000FF"/>
          </w:rPr>
          <w:t>пунктом 4.4</w:t>
        </w:r>
      </w:hyperlink>
      <w:r>
        <w:rPr>
          <w:rFonts w:ascii="Calibri" w:hAnsi="Calibri" w:cs="Calibri"/>
        </w:rPr>
        <w:t xml:space="preserve"> постановления Правительства Санкт-Петербурга от 20.01.2011 N 63 "О Порядке формирования государственных заданий для государственных учреждений Санкт-Петербурга и порядке финансового обеспечения выполнения государственных заданий":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</w:t>
      </w:r>
      <w:hyperlink w:anchor="Par41" w:history="1">
        <w:r>
          <w:rPr>
            <w:rFonts w:ascii="Calibri" w:hAnsi="Calibri" w:cs="Calibri"/>
            <w:color w:val="0000FF"/>
          </w:rPr>
          <w:t>Методические рекомендации</w:t>
        </w:r>
      </w:hyperlink>
      <w:r>
        <w:rPr>
          <w:rFonts w:ascii="Calibri" w:hAnsi="Calibri" w:cs="Calibri"/>
        </w:rPr>
        <w:t xml:space="preserve"> по формированию предельных цен (тарифов) на оплату государственных услуг физическими или юридическими лицами в случае, если законодательством Российской Федерации предусмотрено их оказание на платной основе, согласно приложению.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Признать утратившими силу: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6" w:history="1">
        <w:r>
          <w:rPr>
            <w:rFonts w:ascii="Calibri" w:hAnsi="Calibri" w:cs="Calibri"/>
            <w:color w:val="0000FF"/>
          </w:rPr>
          <w:t>распоряжение</w:t>
        </w:r>
      </w:hyperlink>
      <w:r>
        <w:rPr>
          <w:rFonts w:ascii="Calibri" w:hAnsi="Calibri" w:cs="Calibri"/>
        </w:rPr>
        <w:t xml:space="preserve"> Комитета экономического развития, промышленной политики и торговли от 01.08.2005 N 52-р "Об утверждении Методических рекомендаций по формированию тарифов (цен) на платные услуги, оказываемые государственными учреждениями Санкт-Петербурга";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7" w:history="1">
        <w:r>
          <w:rPr>
            <w:rFonts w:ascii="Calibri" w:hAnsi="Calibri" w:cs="Calibri"/>
            <w:color w:val="0000FF"/>
          </w:rPr>
          <w:t>распоряжение</w:t>
        </w:r>
      </w:hyperlink>
      <w:r>
        <w:rPr>
          <w:rFonts w:ascii="Calibri" w:hAnsi="Calibri" w:cs="Calibri"/>
        </w:rPr>
        <w:t xml:space="preserve"> Комитета экономического развития, промышленной политики и торговли от 13.11.2009 N 890-р "Об утверждении Методических рекомендаций по формированию предельных цен (тарифов) на оплату государственных услуг физическими или юридическими лицами, оказываемых автономным учреждением, созданным на базе имущества, находящегося в собственности Санкт-Петербурга".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выполнением распоряжения возложить на первого заместителя председателя Комитета экономического развития, промышленной политики и торговли Никонова А.А.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Комитета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экономического развития,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промышленной политики и торговли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Е.И.Елин</w:t>
      </w:r>
      <w:proofErr w:type="spellEnd"/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35"/>
      <w:bookmarkEnd w:id="1"/>
      <w:r>
        <w:rPr>
          <w:rFonts w:ascii="Calibri" w:hAnsi="Calibri" w:cs="Calibri"/>
        </w:rPr>
        <w:lastRenderedPageBreak/>
        <w:t>ПРИЛОЖЕНИЕ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распоряжению Комитета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экономического развития,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промышленной политики и торговли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18.03.2011 N 258-р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41"/>
      <w:bookmarkEnd w:id="2"/>
      <w:r>
        <w:rPr>
          <w:rFonts w:ascii="Calibri" w:hAnsi="Calibri" w:cs="Calibri"/>
          <w:b/>
          <w:bCs/>
        </w:rPr>
        <w:t>МЕТОДИЧЕСКИЕ РЕКОМЕНДАЦИИ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 ФОРМИРОВАНИЮ ПРЕДЕЛЬНЫХ ЦЕН (ТАРИФОВ) НА ОПЛАТУ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ГОСУДАРСТВЕННЫХ УСЛУГ ФИЗИЧЕСКИМИ ИЛИ ЮРИДИЧЕСКИМИ ЛИЦАМИ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В </w:t>
      </w:r>
      <w:proofErr w:type="gramStart"/>
      <w:r>
        <w:rPr>
          <w:rFonts w:ascii="Calibri" w:hAnsi="Calibri" w:cs="Calibri"/>
          <w:b/>
          <w:bCs/>
        </w:rPr>
        <w:t>СЛУЧАЕ</w:t>
      </w:r>
      <w:proofErr w:type="gramEnd"/>
      <w:r>
        <w:rPr>
          <w:rFonts w:ascii="Calibri" w:hAnsi="Calibri" w:cs="Calibri"/>
          <w:b/>
          <w:bCs/>
        </w:rPr>
        <w:t>, ЕСЛИ ЗАКОНОДАТЕЛЬСТВОМ РОССИЙСКОЙ ФЕДЕРАЦИИ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ПРЕДУСМОТРЕНО ИХ ОКАЗАНИЕ НА ПЛАТНОЙ ОСНОВЕ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 ред. </w:t>
      </w:r>
      <w:hyperlink r:id="rId8" w:history="1">
        <w:r>
          <w:rPr>
            <w:rFonts w:ascii="Calibri" w:hAnsi="Calibri" w:cs="Calibri"/>
            <w:color w:val="0000FF"/>
          </w:rPr>
          <w:t>Распоряжения</w:t>
        </w:r>
      </w:hyperlink>
      <w:r>
        <w:rPr>
          <w:rFonts w:ascii="Calibri" w:hAnsi="Calibri" w:cs="Calibri"/>
        </w:rPr>
        <w:t xml:space="preserve"> Комитета по экономической политике</w:t>
      </w:r>
      <w:proofErr w:type="gramEnd"/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стратегическому планированию Санкт-Петербурга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14.10.2013 N 119-р)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>Методические рекомендации по формированию предельных цен (тарифов) на оплату государственных услуг физическими или юридическими лицами в случае, если законодательством Российской Федерации предусмотрено их оказание на платной основе (далее - Методические рекомендации), предназначены для применения исполнительными органами государственной власти Санкт-Петербурга, осуществляющими функции и полномочия учредителя в части формирования и утверждения государственного задания, а также финансового обеспечения выполнения государственного задания в отношении автономных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и бюджетных учреждений Санкт-Петербурга (далее - учредитель), а также исполнительными органами государственной власти Санкт-Петербурга, осуществляющими бюджетные полномочия главного распорядителя средств бюджета Санкт-Петербурга в отношении казенного учреждения Санкт-Петербурга (далее - главный распорядитель средств бюджета), при формировании предельных цен (тарифов) на оплату физическими или юридическими лицами государственных услуг, оказываемых государственными учреждениями Санкт-Петербурга (далее - учреждение), в случае если законодательством Российской Федерации предусмотрено их оказание на</w:t>
      </w:r>
      <w:proofErr w:type="gramEnd"/>
      <w:r>
        <w:rPr>
          <w:rFonts w:ascii="Calibri" w:hAnsi="Calibri" w:cs="Calibri"/>
        </w:rPr>
        <w:t xml:space="preserve"> платной основе.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Предельные цены (тарифы) на оплату физическими или юридическими лицами государственных услуг, оказываемых учреждениями на платной основе (далее - платная услуга), определяются учредителем, главным распорядителем средств бюджета на очередной финансовый год и на плановый период.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Предельная цена (тариф) на оплату физическими или юридическими лицами платной услуги (далее - предельная цена за оказание платной услуги) определяется на основании затрат учреждения, связанных с оказанием платной услуги, с учетом экономически обоснованного уровня рентабельности.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Предельная цена за оказание платной услуги рассчитывается по формуле: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position w:val="-9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5.6pt;height:21.1pt">
            <v:imagedata r:id="rId9" o:title=""/>
          </v:shape>
        </w:pic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где: </w:t>
      </w:r>
      <w:r>
        <w:rPr>
          <w:rFonts w:ascii="Calibri" w:hAnsi="Calibri" w:cs="Calibri"/>
          <w:position w:val="-8"/>
        </w:rPr>
        <w:pict>
          <v:shape id="_x0000_i1026" type="#_x0000_t75" style="width:27.3pt;height:19.85pt">
            <v:imagedata r:id="rId10" o:title=""/>
          </v:shape>
        </w:pict>
      </w:r>
      <w:r>
        <w:rPr>
          <w:rFonts w:ascii="Calibri" w:hAnsi="Calibri" w:cs="Calibri"/>
        </w:rPr>
        <w:t xml:space="preserve"> - предельная цена за оказание единицы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услуги;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  <w:position w:val="-9"/>
        </w:rPr>
        <w:pict>
          <v:shape id="_x0000_i1027" type="#_x0000_t75" style="width:26.05pt;height:21.1pt">
            <v:imagedata r:id="rId11" o:title=""/>
          </v:shape>
        </w:pict>
      </w:r>
      <w:r>
        <w:rPr>
          <w:rFonts w:ascii="Calibri" w:hAnsi="Calibri" w:cs="Calibri"/>
        </w:rPr>
        <w:t xml:space="preserve"> - себестоимость оказания единицы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услуги;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  <w:position w:val="-9"/>
        </w:rPr>
        <w:pict>
          <v:shape id="_x0000_i1028" type="#_x0000_t75" style="width:21.1pt;height:21.1pt">
            <v:imagedata r:id="rId12" o:title=""/>
          </v:shape>
        </w:pict>
      </w:r>
      <w:r>
        <w:rPr>
          <w:rFonts w:ascii="Calibri" w:hAnsi="Calibri" w:cs="Calibri"/>
        </w:rPr>
        <w:t xml:space="preserve"> - коэффициент рентабельности оказания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услуги.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4.1. Себестоимость оказания единицы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 рассчитывается по формуле: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position w:val="-9"/>
        </w:rPr>
        <w:pict>
          <v:shape id="_x0000_i1029" type="#_x0000_t75" style="width:89.4pt;height:21.1pt">
            <v:imagedata r:id="rId13" o:title=""/>
          </v:shape>
        </w:pic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где: </w:t>
      </w:r>
      <w:r>
        <w:rPr>
          <w:rFonts w:ascii="Calibri" w:hAnsi="Calibri" w:cs="Calibri"/>
          <w:position w:val="-9"/>
        </w:rPr>
        <w:pict>
          <v:shape id="_x0000_i1030" type="#_x0000_t75" style="width:23.6pt;height:21.1pt">
            <v:imagedata r:id="rId14" o:title=""/>
          </v:shape>
        </w:pict>
      </w:r>
      <w:r>
        <w:rPr>
          <w:rFonts w:ascii="Calibri" w:hAnsi="Calibri" w:cs="Calibri"/>
        </w:rPr>
        <w:t xml:space="preserve"> - прямые затраты учреждения, непосредственно связанные с оказанием единицы </w:t>
      </w:r>
      <w:proofErr w:type="spellStart"/>
      <w:r>
        <w:rPr>
          <w:rFonts w:ascii="Calibri" w:hAnsi="Calibri" w:cs="Calibri"/>
        </w:rPr>
        <w:lastRenderedPageBreak/>
        <w:t>i-й</w:t>
      </w:r>
      <w:proofErr w:type="spellEnd"/>
      <w:r>
        <w:rPr>
          <w:rFonts w:ascii="Calibri" w:hAnsi="Calibri" w:cs="Calibri"/>
        </w:rPr>
        <w:t xml:space="preserve"> платной услуги;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  <w:position w:val="-9"/>
        </w:rPr>
        <w:pict>
          <v:shape id="_x0000_i1031" type="#_x0000_t75" style="width:18.6pt;height:21.1pt">
            <v:imagedata r:id="rId15" o:title=""/>
          </v:shape>
        </w:pict>
      </w:r>
      <w:r>
        <w:rPr>
          <w:rFonts w:ascii="Calibri" w:hAnsi="Calibri" w:cs="Calibri"/>
        </w:rPr>
        <w:t xml:space="preserve"> - косвенные затраты учреждения, связанные с оказанием единицы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услуги.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4.1.1. В состав прямых затрат учреждения, непосредственно связанных с оказанием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услуги, включаются: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затраты на оплату труда и начисления на выплаты по оплате труда работников учреждения, непосредственно участвующих в оказании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услуги;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затраты на приобретение материальных ресурсов, непосредственно потребляемых в процессе оказания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услуги;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иные затраты, непосредственно связанные с оказанием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услуги.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Затраты на оплату труда и начисления на выплаты по оплате труда работников учреждения, непосредственно участвующих в оказании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услуги, определяются как произведение стоимости единицы рабочего времени работников учреждения, непосредственно участвующих в оказании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услуги, и количества единиц рабочего времени, затрачиваемых этими работниками на оказание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услуги. </w:t>
      </w:r>
      <w:proofErr w:type="gramStart"/>
      <w:r>
        <w:rPr>
          <w:rFonts w:ascii="Calibri" w:hAnsi="Calibri" w:cs="Calibri"/>
        </w:rPr>
        <w:t xml:space="preserve">Стоимость единицы рабочего времени работника учреждения, непосредственно участвующего в оказании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услуги, определяется исходя из размера оплаты труда соответствующего работника учреждения, включающего должностной оклад (тарифную ставку), компенсационные и стимулирующие выплаты, определенные в соответствии с трудовым законодательством, иными нормативными правовыми актами Российской Федерации и Санкт-Петербурга, содержащими нормы трудового права, включая </w:t>
      </w:r>
      <w:hyperlink r:id="rId16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Санкт-Петербурга от 05.10.2005 N 531-74 "О системах оплаты труда</w:t>
      </w:r>
      <w:proofErr w:type="gramEnd"/>
      <w:r>
        <w:rPr>
          <w:rFonts w:ascii="Calibri" w:hAnsi="Calibri" w:cs="Calibri"/>
        </w:rPr>
        <w:t xml:space="preserve"> работников государственных учреждений Санкт-Петербурга" и соответствующие постановления Правительства Санкт-Петербурга, определяющие особенности оплаты труда работников государственных учреждений Санкт-Петербурга, начислений на выплаты по оплате труда и установленной нормы рабочего времени.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7" w:history="1">
        <w:r>
          <w:rPr>
            <w:rFonts w:ascii="Calibri" w:hAnsi="Calibri" w:cs="Calibri"/>
            <w:color w:val="0000FF"/>
          </w:rPr>
          <w:t>Распоряжения</w:t>
        </w:r>
      </w:hyperlink>
      <w:r>
        <w:rPr>
          <w:rFonts w:ascii="Calibri" w:hAnsi="Calibri" w:cs="Calibri"/>
        </w:rPr>
        <w:t xml:space="preserve"> Комитета по экономической политике и стратегическому планированию Санкт-Петербурга от 14.10.2013 N 119-р)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Затраты на приобретение материальных ресурсов, непосредственно потребляемых в процессе оказания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услуги, определяются исходя из стоимости и количества материальных ресурсов, необходимых для оказания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услуги.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Иные затраты, непосредственно связанные с оказанием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услуги, включают в себя затраты на приобретение продуктов питания, медикаментов, затраты на эксплуатацию машин и механизмов, непосредственно используемых при оказании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услуги, иные расходы отраслевого характера, непосредственно осуществляемые при оказании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услуги.</w:t>
      </w:r>
      <w:proofErr w:type="gramEnd"/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4.1.2. Косвенные затраты учреждения, связанные с оказанием единицы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услуги, определяются по формуле: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position w:val="-26"/>
        </w:rPr>
        <w:pict>
          <v:shape id="_x0000_i1032" type="#_x0000_t75" style="width:88.15pt;height:39.7pt">
            <v:imagedata r:id="rId18" o:title=""/>
          </v:shape>
        </w:pic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где: </w:t>
      </w:r>
      <w:r>
        <w:rPr>
          <w:rFonts w:ascii="Calibri" w:hAnsi="Calibri" w:cs="Calibri"/>
          <w:position w:val="-8"/>
        </w:rPr>
        <w:pict>
          <v:shape id="_x0000_i1033" type="#_x0000_t75" style="width:16.15pt;height:19.85pt">
            <v:imagedata r:id="rId19" o:title=""/>
          </v:shape>
        </w:pict>
      </w:r>
      <w:r>
        <w:rPr>
          <w:rFonts w:ascii="Calibri" w:hAnsi="Calibri" w:cs="Calibri"/>
        </w:rPr>
        <w:t xml:space="preserve"> - косвенные затраты по учреждению в целом;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  <w:position w:val="-9"/>
        </w:rPr>
        <w:pict>
          <v:shape id="_x0000_i1034" type="#_x0000_t75" style="width:26.05pt;height:21.1pt">
            <v:imagedata r:id="rId20" o:title=""/>
          </v:shape>
        </w:pict>
      </w:r>
      <w:r>
        <w:rPr>
          <w:rFonts w:ascii="Calibri" w:hAnsi="Calibri" w:cs="Calibri"/>
        </w:rPr>
        <w:t xml:space="preserve"> - доля косвенных затрат, включаемых в себестоимость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услуги;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  <w:position w:val="-8"/>
        </w:rPr>
        <w:pict>
          <v:shape id="_x0000_i1035" type="#_x0000_t75" style="width:13.65pt;height:19.85pt">
            <v:imagedata r:id="rId21" o:title=""/>
          </v:shape>
        </w:pict>
      </w:r>
      <w:r>
        <w:rPr>
          <w:rFonts w:ascii="Calibri" w:hAnsi="Calibri" w:cs="Calibri"/>
        </w:rPr>
        <w:t xml:space="preserve"> - количество единиц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услуги.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состав косвенных затрат по учреждению в целом включаются затраты на общехозяйственные нужды, непосредственно не связанные с оказанием определенной платной услуги, а именно: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затраты, связанные с оплатой труда административно-управленческого и вспомогательного персонала учреждения;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затраты на эксплуатацию оборудования, которые включают в себя затраты на техническое обслуживание машин и оборудования, обслуживание компьютерной техники, технических </w:t>
      </w:r>
      <w:r>
        <w:rPr>
          <w:rFonts w:ascii="Calibri" w:hAnsi="Calibri" w:cs="Calibri"/>
        </w:rPr>
        <w:lastRenderedPageBreak/>
        <w:t>средств;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затраты на коммунальные услуги, услуги связи, транспорта (в том числе расходы на приобретение горюче-смазочных материалов), затраты на услуги кредитных организаций и на прочие услуги;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затраты на содержание недвижимого имущества, включая затраты на охрану (обслуживание систем видеонаблюдения, тревожных кнопок, систем контроля доступа в здание и т.п.), затраты на противопожарную безопасность (обслуживание оборудования, систем охранно-пожарной сигнализации т.п.), затраты на текущий ремонт зданий и сооружений, затраты на содержание прилегающей территории, затраты на арендную плату (в случае, если аренда необходима для оказания платной услуги), затраты на</w:t>
      </w:r>
      <w:proofErr w:type="gramEnd"/>
      <w:r>
        <w:rPr>
          <w:rFonts w:ascii="Calibri" w:hAnsi="Calibri" w:cs="Calibri"/>
        </w:rPr>
        <w:t xml:space="preserve"> уборку помещений, приобретение топлива для котельных, санитарную обработку помещений и другие;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затраты на информационные ресурсы, затраты на услуги в области информационных технологий (в том числе приобретение неисключительных (пользовательских) прав на программное обеспечение);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затраты на уплату налогов, сборов и иных обязательных платежей.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Доля косвенных затрат, включаемых в себестоимость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услуги, рассчитывается как отношение </w:t>
      </w:r>
      <w:proofErr w:type="gramStart"/>
      <w:r>
        <w:rPr>
          <w:rFonts w:ascii="Calibri" w:hAnsi="Calibri" w:cs="Calibri"/>
        </w:rPr>
        <w:t>размера фонда оплаты труда работников</w:t>
      </w:r>
      <w:proofErr w:type="gramEnd"/>
      <w:r>
        <w:rPr>
          <w:rFonts w:ascii="Calibri" w:hAnsi="Calibri" w:cs="Calibri"/>
        </w:rPr>
        <w:t xml:space="preserve"> учреждения, непосредственно участвующих в оказании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услуги, к общей сумме средств на оплату труда всех работников учреждения, непосредственно участвующих в оказании (выполнении) учреждением всех государственных услуг (работ).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случае если оказываемые учреждением государственные услуги (выполняемые работы) имеют одинаковую единицу измерения их объема, доля косвенных затрат, включаемых в себестоимость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услуги, может быть рассчитана как отношение объема платных услуг к общему объему оказываемых (выполняемых) учреждением государственных услуг (работ).</w:t>
      </w:r>
      <w:proofErr w:type="gramEnd"/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4.1.3. Стоимость товаров, работ и услуг, затраты на которые включаются в расчет себестоимости оказания единицы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услуги, определяется исходя из фактически сложившихся средних текущих цен на соответствующие товары, работы и услуги с учетом </w:t>
      </w:r>
      <w:proofErr w:type="gramStart"/>
      <w:r>
        <w:rPr>
          <w:rFonts w:ascii="Calibri" w:hAnsi="Calibri" w:cs="Calibri"/>
        </w:rPr>
        <w:t>показателей уровня инфляции прогноза социально-экономического развития</w:t>
      </w:r>
      <w:proofErr w:type="gramEnd"/>
      <w:r>
        <w:rPr>
          <w:rFonts w:ascii="Calibri" w:hAnsi="Calibri" w:cs="Calibri"/>
        </w:rPr>
        <w:t xml:space="preserve"> Санкт-Петербурга на соответствующий финансовый год и плановый период.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4.2. Коэффициент рентабельности оказания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 определяется в процентах к себестоимости оказания единицы </w:t>
      </w:r>
      <w:proofErr w:type="spellStart"/>
      <w:r>
        <w:rPr>
          <w:rFonts w:ascii="Calibri" w:hAnsi="Calibri" w:cs="Calibri"/>
        </w:rPr>
        <w:t>i-й</w:t>
      </w:r>
      <w:proofErr w:type="spellEnd"/>
      <w:r>
        <w:rPr>
          <w:rFonts w:ascii="Calibri" w:hAnsi="Calibri" w:cs="Calibri"/>
        </w:rPr>
        <w:t xml:space="preserve"> платной услуги исходя из сложившегося уровня рентабельности в соответствующей сфере деятельности с учетом необходимости осуществления следующих расходов: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расходы на развитие материально-технической базы учреждения;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расходы на выплаты материального стимулирования работников учреждения;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обязательные платежи, выплачиваемые за счет прибыли.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В </w:t>
      </w:r>
      <w:proofErr w:type="gramStart"/>
      <w:r>
        <w:rPr>
          <w:rFonts w:ascii="Calibri" w:hAnsi="Calibri" w:cs="Calibri"/>
        </w:rPr>
        <w:t>случаях</w:t>
      </w:r>
      <w:proofErr w:type="gramEnd"/>
      <w:r>
        <w:rPr>
          <w:rFonts w:ascii="Calibri" w:hAnsi="Calibri" w:cs="Calibri"/>
        </w:rPr>
        <w:t xml:space="preserve"> когда правовыми актами Российской Федерации, Санкт-Петербурга в отношении отдельных видов платных услуг установлен иной порядок определения предельных цен за оказание платных услуг, следует руководствоваться требованиями данных правовых актов.</w:t>
      </w: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D6B22" w:rsidRDefault="007D6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D6B22" w:rsidRDefault="007D6B22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953BD6" w:rsidRDefault="00953BD6"/>
    <w:sectPr w:rsidR="00953BD6" w:rsidSect="00D13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7D6B22"/>
    <w:rsid w:val="007D6B22"/>
    <w:rsid w:val="00953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CDC62567297749FA1654D8A5F2FA6765617BDAFC759C228BBA3570893D606FEA4C3BBAB172D04D69AEL" TargetMode="External"/><Relationship Id="rId13" Type="http://schemas.openxmlformats.org/officeDocument/2006/relationships/image" Target="media/image5.wmf"/><Relationship Id="rId18" Type="http://schemas.openxmlformats.org/officeDocument/2006/relationships/image" Target="media/image8.wmf"/><Relationship Id="rId3" Type="http://schemas.openxmlformats.org/officeDocument/2006/relationships/webSettings" Target="webSettings.xml"/><Relationship Id="rId21" Type="http://schemas.openxmlformats.org/officeDocument/2006/relationships/image" Target="media/image11.wmf"/><Relationship Id="rId7" Type="http://schemas.openxmlformats.org/officeDocument/2006/relationships/hyperlink" Target="consultantplus://offline/ref=0ECDC62567297749FA1654D8A5F2FA676D6672D0FE7EC12883E3397268AEL" TargetMode="External"/><Relationship Id="rId12" Type="http://schemas.openxmlformats.org/officeDocument/2006/relationships/image" Target="media/image4.wmf"/><Relationship Id="rId17" Type="http://schemas.openxmlformats.org/officeDocument/2006/relationships/hyperlink" Target="consultantplus://offline/ref=0ECDC62567297749FA1654D8A5F2FA6765617BDAFC759C228BBA3570893D606FEA4C3BBAB172D04D69AE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ECDC62567297749FA1654D8A5F2FA6765667CDDF9749C228BBA35708963ADL" TargetMode="External"/><Relationship Id="rId20" Type="http://schemas.openxmlformats.org/officeDocument/2006/relationships/image" Target="media/image10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0ECDC62567297749FA1654D8A5F2FA6761627AD8F27EC12883E3397268AEL" TargetMode="External"/><Relationship Id="rId11" Type="http://schemas.openxmlformats.org/officeDocument/2006/relationships/image" Target="media/image3.wmf"/><Relationship Id="rId5" Type="http://schemas.openxmlformats.org/officeDocument/2006/relationships/hyperlink" Target="consultantplus://offline/ref=0ECDC62567297749FA1654D8A5F2FA67656679D8FE7D9C228BBA3570893D606FEA4C3BBAB172D04D69A4L" TargetMode="External"/><Relationship Id="rId15" Type="http://schemas.openxmlformats.org/officeDocument/2006/relationships/image" Target="media/image7.wmf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image" Target="media/image9.wmf"/><Relationship Id="rId4" Type="http://schemas.openxmlformats.org/officeDocument/2006/relationships/hyperlink" Target="consultantplus://offline/ref=0ECDC62567297749FA1654D8A5F2FA6765617BDAFC759C228BBA3570893D606FEA4C3BBAB172D04D69AEL" TargetMode="External"/><Relationship Id="rId9" Type="http://schemas.openxmlformats.org/officeDocument/2006/relationships/image" Target="media/image1.wmf"/><Relationship Id="rId14" Type="http://schemas.openxmlformats.org/officeDocument/2006/relationships/image" Target="media/image6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1720</Words>
  <Characters>9804</Characters>
  <Application>Microsoft Office Word</Application>
  <DocSecurity>0</DocSecurity>
  <Lines>81</Lines>
  <Paragraphs>23</Paragraphs>
  <ScaleCrop>false</ScaleCrop>
  <Company>невская адм</Company>
  <LinksUpToDate>false</LinksUpToDate>
  <CharactersWithSpaces>11501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2014-10-11T11:00:00Z</dcterms:created>
  <dcterms:modified xsi:type="dcterms:W3CDTF">2014-10-11T11:01:00Z</dcterms:modified>
</cp:coreProperties>
</file>